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DC06" w14:textId="77777777" w:rsidR="006E2C24" w:rsidRDefault="006E2C24" w:rsidP="004A398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E2C24">
        <w:rPr>
          <w:rFonts w:ascii="Times New Roman" w:hAnsi="Times New Roman"/>
          <w:b/>
          <w:bCs/>
          <w:noProof/>
          <w:sz w:val="24"/>
          <w:szCs w:val="24"/>
          <w:lang w:val="it-IT"/>
        </w:rPr>
        <w:drawing>
          <wp:inline distT="0" distB="0" distL="0" distR="0" wp14:anchorId="3F291FDE" wp14:editId="27B869E2">
            <wp:extent cx="572452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68" cy="102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C8A5" w14:textId="77777777" w:rsidR="006E2C24" w:rsidRDefault="006E2C24" w:rsidP="004A398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3C151C16" w14:textId="77777777" w:rsidR="006E2C24" w:rsidRDefault="006E2C24" w:rsidP="004A398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10E35009" w14:textId="77777777" w:rsidR="001520AC" w:rsidRPr="006942DE" w:rsidRDefault="004A398B" w:rsidP="004A398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942DE"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="00003D6C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b/>
          <w:bCs/>
          <w:sz w:val="24"/>
          <w:szCs w:val="24"/>
          <w:lang w:val="it-IT"/>
        </w:rPr>
        <w:t>RGJIGJA STRATEGJIKE PËR SHQIPËRINË – IPA III</w:t>
      </w:r>
    </w:p>
    <w:p w14:paraId="7B822D27" w14:textId="77777777" w:rsidR="004A398B" w:rsidRPr="006942DE" w:rsidRDefault="004A398B" w:rsidP="004A398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C0B20BC" w14:textId="77777777" w:rsidR="004A398B" w:rsidRDefault="004A398B" w:rsidP="004A398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942DE"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="00003D6C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b/>
          <w:bCs/>
          <w:sz w:val="24"/>
          <w:szCs w:val="24"/>
          <w:lang w:val="it-IT"/>
        </w:rPr>
        <w:t>RMBLEDHJE</w:t>
      </w:r>
    </w:p>
    <w:p w14:paraId="61F3B7F8" w14:textId="77777777" w:rsidR="006E2C24" w:rsidRPr="006942DE" w:rsidRDefault="006E2C24" w:rsidP="004A398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5DE57F9B" w14:textId="77777777" w:rsidR="004A398B" w:rsidRPr="006942DE" w:rsidRDefault="004A398B" w:rsidP="004A398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85D4755" w14:textId="77777777" w:rsidR="000769D1" w:rsidRPr="006942DE" w:rsidRDefault="004A398B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sz w:val="24"/>
          <w:szCs w:val="24"/>
          <w:lang w:val="it-IT"/>
        </w:rPr>
        <w:t xml:space="preserve">Bashkimi Evropain 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sht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donatori më i madh për Shqipërinë. </w:t>
      </w:r>
      <w:r w:rsidR="000769D1" w:rsidRPr="006942DE">
        <w:rPr>
          <w:rFonts w:ascii="Times New Roman" w:hAnsi="Times New Roman"/>
          <w:sz w:val="24"/>
          <w:szCs w:val="24"/>
          <w:lang w:val="it-IT"/>
        </w:rPr>
        <w:t>Instrumenti i Asistencës së Para-Aderimit (IPA) është instrument i financuar nga BE për Vendet e Ballkanin Perëndimor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(Shqip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rin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, Kosov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n, Bosnjen dhe Hercegovin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n, Serbin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, Malin e Zi, Maqedonin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e Veriut)</w:t>
      </w:r>
      <w:r w:rsidR="000769D1" w:rsidRPr="006942DE">
        <w:rPr>
          <w:rFonts w:ascii="Times New Roman" w:hAnsi="Times New Roman"/>
          <w:sz w:val="24"/>
          <w:szCs w:val="24"/>
          <w:lang w:val="it-IT"/>
        </w:rPr>
        <w:t xml:space="preserve"> dhe Turqin</w:t>
      </w:r>
      <w:r w:rsidR="003161DE" w:rsidRPr="006942DE">
        <w:rPr>
          <w:rFonts w:ascii="Times New Roman" w:hAnsi="Times New Roman"/>
          <w:sz w:val="24"/>
          <w:szCs w:val="24"/>
          <w:lang w:val="it-IT"/>
        </w:rPr>
        <w:t>ë</w:t>
      </w:r>
      <w:r w:rsidR="000769D1" w:rsidRPr="006942DE">
        <w:rPr>
          <w:rFonts w:ascii="Times New Roman" w:hAnsi="Times New Roman"/>
          <w:sz w:val="24"/>
          <w:szCs w:val="24"/>
          <w:lang w:val="it-IT"/>
        </w:rPr>
        <w:t xml:space="preserve">. IPA synon të mbështesë vendet kandidate dhe kandidatët potencialë në </w:t>
      </w:r>
      <w:r w:rsidRPr="006942DE">
        <w:rPr>
          <w:rFonts w:ascii="Times New Roman" w:hAnsi="Times New Roman"/>
          <w:sz w:val="24"/>
          <w:szCs w:val="24"/>
          <w:lang w:val="it-IT"/>
        </w:rPr>
        <w:t>procesin e integrimit. M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konkre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tisht ka si q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llim 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mb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shtes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zbatim</w:t>
      </w:r>
      <w:r w:rsidR="000769D1" w:rsidRPr="006942DE">
        <w:rPr>
          <w:rFonts w:ascii="Times New Roman" w:hAnsi="Times New Roman"/>
          <w:sz w:val="24"/>
          <w:szCs w:val="24"/>
          <w:lang w:val="it-IT"/>
        </w:rPr>
        <w:t>in e reformave politike, institucionale, ligjore, administrative, sociale dhe ekonomike të nevojshme për të sjellë vendet më pranë BE-së.</w:t>
      </w:r>
    </w:p>
    <w:p w14:paraId="3D86628B" w14:textId="77777777" w:rsidR="000769D1" w:rsidRPr="006942DE" w:rsidRDefault="000769D1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77F4017" w14:textId="77777777" w:rsidR="000769D1" w:rsidRPr="006942DE" w:rsidRDefault="000769D1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sz w:val="24"/>
          <w:szCs w:val="24"/>
          <w:lang w:val="it-IT"/>
        </w:rPr>
        <w:t xml:space="preserve">Nga Janari 2007 e më tej, Instrumenti i Asistencës së Para-Anëtarësimit (IPA) zëvendëson një seri programesh të Bashkimit Evropian dhe instrumenteve financiare për vendet kandidate ose vendet potenciale kandidate, përkatësisht PHARE, PHARE CBC, ISPA, SAPARD, CARDS. 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IPA programohet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 xml:space="preserve">rmes cikleve programuese 7 vjeçare. IPA I 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sht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 xml:space="preserve"> programuar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r periudh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n 2007 – 2013, IPA II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r periudh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n 2014-2020, dhe IPA III po programohet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r periudh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n kohore 2021-2027. IPA III po programohet mbi baz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n e Kuadrit Programues 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 xml:space="preserve"> IPA III, i cili perfaq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son nj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 xml:space="preserve"> dokument strategjik 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 xml:space="preserve"> r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nd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sish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m 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 xml:space="preserve"> BE-s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A398B" w:rsidRPr="006942DE">
        <w:rPr>
          <w:rFonts w:ascii="Times New Roman" w:hAnsi="Times New Roman"/>
          <w:sz w:val="24"/>
          <w:szCs w:val="24"/>
          <w:lang w:val="it-IT"/>
        </w:rPr>
        <w:t>.</w:t>
      </w:r>
    </w:p>
    <w:p w14:paraId="17CAAB25" w14:textId="77777777" w:rsidR="004A398B" w:rsidRPr="006942DE" w:rsidRDefault="004A398B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514566C" w14:textId="77777777" w:rsidR="004A398B" w:rsidRPr="006E2C24" w:rsidRDefault="004A398B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t>Kuadrit Programues t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IPA III p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rfshin 5 dritare strategjike;</w:t>
      </w:r>
    </w:p>
    <w:p w14:paraId="08445EFB" w14:textId="77777777" w:rsidR="004A398B" w:rsidRPr="006E2C24" w:rsidRDefault="004A398B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1FC6C52" w14:textId="77777777" w:rsidR="004A398B" w:rsidRPr="006E2C24" w:rsidRDefault="004A398B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t>Dritarja 1: Sundimi i ligjit, të drejtat themelore dhe demokracia</w:t>
      </w:r>
    </w:p>
    <w:p w14:paraId="0BD454EB" w14:textId="77777777" w:rsidR="004A398B" w:rsidRPr="006E2C24" w:rsidRDefault="004A398B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t>Dritarja 2: Mirëqeverisja, linjëzimi me acquis të BE-së, fqinjësia e mirë dhe komunikimi strategjik</w:t>
      </w:r>
    </w:p>
    <w:p w14:paraId="6BCA67A7" w14:textId="77777777" w:rsidR="004A398B" w:rsidRPr="006E2C24" w:rsidRDefault="004A398B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t>Dritarja 3: Konektviteti i Qendrueshëm dhe agjenda e gjelbër</w:t>
      </w:r>
    </w:p>
    <w:p w14:paraId="4EF758EB" w14:textId="77777777" w:rsidR="004A398B" w:rsidRPr="006E2C24" w:rsidRDefault="004A398B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t xml:space="preserve">Dritarja 4: Konkurrueshmëria dhe rritja gjithë përfshirëse </w:t>
      </w:r>
    </w:p>
    <w:p w14:paraId="021B14E7" w14:textId="77777777" w:rsidR="004A398B" w:rsidRPr="006942DE" w:rsidRDefault="004A398B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sz w:val="24"/>
          <w:szCs w:val="24"/>
          <w:lang w:val="it-IT"/>
        </w:rPr>
        <w:t>Dritarja 5: Bashk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punimi territorial dhe nd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r-kufitar</w:t>
      </w:r>
    </w:p>
    <w:p w14:paraId="63FD9A1D" w14:textId="77777777" w:rsidR="004A398B" w:rsidRPr="006942DE" w:rsidRDefault="004A398B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30E2D39" w14:textId="77777777" w:rsidR="004A398B" w:rsidRPr="006942DE" w:rsidRDefault="004A398B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sz w:val="24"/>
          <w:szCs w:val="24"/>
          <w:lang w:val="it-IT"/>
        </w:rPr>
        <w:t>Dritarja 1-4 artikulohen m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tej me 17 prioritete tematike.</w:t>
      </w:r>
    </w:p>
    <w:p w14:paraId="21E9904B" w14:textId="77777777" w:rsidR="004A398B" w:rsidRPr="006942DE" w:rsidRDefault="004A398B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85143A6" w14:textId="77777777" w:rsidR="004E5A3D" w:rsidRPr="006942DE" w:rsidRDefault="000769D1" w:rsidP="000769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sz w:val="24"/>
          <w:szCs w:val="24"/>
          <w:lang w:val="it-IT"/>
        </w:rPr>
        <w:t>Përgjigja Strategjike e Shqipërisë</w:t>
      </w:r>
      <w:r w:rsidR="00C64888" w:rsidRPr="006942DE">
        <w:rPr>
          <w:rFonts w:ascii="Times New Roman" w:hAnsi="Times New Roman"/>
          <w:sz w:val="24"/>
          <w:szCs w:val="24"/>
          <w:lang w:val="it-IT"/>
        </w:rPr>
        <w:t xml:space="preserve"> p</w:t>
      </w:r>
      <w:r w:rsidR="003161DE" w:rsidRPr="006942DE">
        <w:rPr>
          <w:rFonts w:ascii="Times New Roman" w:hAnsi="Times New Roman"/>
          <w:sz w:val="24"/>
          <w:szCs w:val="24"/>
          <w:lang w:val="it-IT"/>
        </w:rPr>
        <w:t>ë</w:t>
      </w:r>
      <w:r w:rsidR="00C64888" w:rsidRPr="006942DE">
        <w:rPr>
          <w:rFonts w:ascii="Times New Roman" w:hAnsi="Times New Roman"/>
          <w:sz w:val="24"/>
          <w:szCs w:val="24"/>
          <w:lang w:val="it-IT"/>
        </w:rPr>
        <w:t>r IPA III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C64888" w:rsidRPr="006942DE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6942DE">
        <w:rPr>
          <w:rFonts w:ascii="Times New Roman" w:hAnsi="Times New Roman"/>
          <w:sz w:val="24"/>
          <w:szCs w:val="24"/>
          <w:lang w:val="it-IT"/>
        </w:rPr>
        <w:t>p</w:t>
      </w:r>
      <w:r w:rsidR="00C64888" w:rsidRPr="006942DE">
        <w:rPr>
          <w:rFonts w:ascii="Times New Roman" w:hAnsi="Times New Roman"/>
          <w:sz w:val="24"/>
          <w:szCs w:val="24"/>
          <w:lang w:val="it-IT"/>
        </w:rPr>
        <w:t>rezantuar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nga Koordinatori Kombëtar IPA, </w:t>
      </w:r>
      <w:r w:rsidR="003161DE" w:rsidRPr="006942DE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sht</w:t>
      </w:r>
      <w:r w:rsidR="003161DE" w:rsidRPr="006942DE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dokumenti </w:t>
      </w:r>
      <w:r w:rsidR="004E5A3D" w:rsidRPr="006942DE">
        <w:rPr>
          <w:rFonts w:ascii="Times New Roman" w:hAnsi="Times New Roman"/>
          <w:sz w:val="24"/>
          <w:szCs w:val="24"/>
          <w:lang w:val="it-IT"/>
        </w:rPr>
        <w:t xml:space="preserve">kyç </w:t>
      </w:r>
      <w:r w:rsidRPr="006942DE">
        <w:rPr>
          <w:rFonts w:ascii="Times New Roman" w:hAnsi="Times New Roman"/>
          <w:sz w:val="24"/>
          <w:szCs w:val="24"/>
          <w:lang w:val="it-IT"/>
        </w:rPr>
        <w:t>strategjik m</w:t>
      </w:r>
      <w:r w:rsidR="003161DE" w:rsidRPr="006942DE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i r</w:t>
      </w:r>
      <w:r w:rsidR="003161DE" w:rsidRPr="006942DE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nd</w:t>
      </w:r>
      <w:r w:rsidR="003161DE" w:rsidRPr="006942DE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sish</w:t>
      </w:r>
      <w:r w:rsidR="003161DE" w:rsidRPr="006942DE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m </w:t>
      </w:r>
      <w:r w:rsidR="00C64888" w:rsidRPr="006942DE">
        <w:rPr>
          <w:rFonts w:ascii="Times New Roman" w:hAnsi="Times New Roman"/>
          <w:sz w:val="24"/>
          <w:szCs w:val="24"/>
          <w:lang w:val="it-IT"/>
        </w:rPr>
        <w:t>p</w:t>
      </w:r>
      <w:r w:rsidR="003161DE" w:rsidRPr="006942DE">
        <w:rPr>
          <w:rFonts w:ascii="Times New Roman" w:hAnsi="Times New Roman"/>
          <w:sz w:val="24"/>
          <w:szCs w:val="24"/>
          <w:lang w:val="it-IT"/>
        </w:rPr>
        <w:t>ë</w:t>
      </w:r>
      <w:r w:rsidR="00C64888" w:rsidRPr="006942DE">
        <w:rPr>
          <w:rFonts w:ascii="Times New Roman" w:hAnsi="Times New Roman"/>
          <w:sz w:val="24"/>
          <w:szCs w:val="24"/>
          <w:lang w:val="it-IT"/>
        </w:rPr>
        <w:t>r p</w:t>
      </w:r>
      <w:r w:rsidR="004E5A3D" w:rsidRPr="006942DE">
        <w:rPr>
          <w:rFonts w:ascii="Times New Roman" w:hAnsi="Times New Roman"/>
          <w:sz w:val="24"/>
          <w:szCs w:val="24"/>
          <w:lang w:val="it-IT"/>
        </w:rPr>
        <w:t>lanifikimin</w:t>
      </w:r>
      <w:r w:rsidR="00C64888" w:rsidRPr="006942DE">
        <w:rPr>
          <w:rFonts w:ascii="Times New Roman" w:hAnsi="Times New Roman"/>
          <w:sz w:val="24"/>
          <w:szCs w:val="24"/>
          <w:lang w:val="it-IT"/>
        </w:rPr>
        <w:t xml:space="preserve"> dhe zbatimin e fondeve IPA III</w:t>
      </w:r>
      <w:r w:rsidR="004E5A3D" w:rsidRPr="006942DE">
        <w:rPr>
          <w:rFonts w:ascii="Times New Roman" w:hAnsi="Times New Roman"/>
          <w:sz w:val="24"/>
          <w:szCs w:val="24"/>
          <w:lang w:val="it-IT"/>
        </w:rPr>
        <w:t>,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E5A3D" w:rsidRPr="006942DE">
        <w:rPr>
          <w:rFonts w:ascii="Times New Roman" w:hAnsi="Times New Roman"/>
          <w:sz w:val="24"/>
          <w:szCs w:val="24"/>
          <w:lang w:val="it-IT"/>
        </w:rPr>
        <w:t>r periudh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E5A3D" w:rsidRPr="006942DE">
        <w:rPr>
          <w:rFonts w:ascii="Times New Roman" w:hAnsi="Times New Roman"/>
          <w:sz w:val="24"/>
          <w:szCs w:val="24"/>
          <w:lang w:val="it-IT"/>
        </w:rPr>
        <w:t xml:space="preserve">n 2021-2027. </w:t>
      </w:r>
    </w:p>
    <w:p w14:paraId="009CE5D7" w14:textId="77777777" w:rsidR="004E5A3D" w:rsidRPr="006942DE" w:rsidRDefault="004E5A3D" w:rsidP="000769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E2A14DE" w14:textId="77777777" w:rsidR="004E5A3D" w:rsidRPr="006942DE" w:rsidRDefault="004E5A3D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sz w:val="24"/>
          <w:szCs w:val="24"/>
          <w:lang w:val="it-IT"/>
        </w:rPr>
        <w:t>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rgatitja e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rgjijges Strategjike ka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rfshir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gjitha institucionet qendrore, pra ministrit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e linj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s, Zyr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n e Kryeministrit, Ministrin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e Financave dhe Ekonomis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, nj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num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r agjencish publike dhe Institutin e Statistikave. Dokumenti, i draftuar sipas k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rkes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s s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Komisionit </w:t>
      </w:r>
      <w:r w:rsidRPr="006942DE">
        <w:rPr>
          <w:rFonts w:ascii="Times New Roman" w:hAnsi="Times New Roman"/>
          <w:sz w:val="24"/>
          <w:szCs w:val="24"/>
          <w:lang w:val="it-IT"/>
        </w:rPr>
        <w:lastRenderedPageBreak/>
        <w:t>Evropian,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rshkuan m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nyr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n se si Shqip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ria do 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rdor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asistenc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n financiare 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IPA III, me q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llim q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kontribuoj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n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arritjen e objektivave 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rcaktuara n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Kuadirn Programues 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IPA III.</w:t>
      </w:r>
    </w:p>
    <w:p w14:paraId="4F6F3F1F" w14:textId="77777777" w:rsidR="004E5A3D" w:rsidRPr="006942DE" w:rsidRDefault="004E5A3D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9D56F9F" w14:textId="77777777" w:rsidR="004E5A3D" w:rsidRPr="006942DE" w:rsidRDefault="00C64888" w:rsidP="004E5A3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sz w:val="24"/>
          <w:szCs w:val="24"/>
          <w:lang w:val="it-IT"/>
        </w:rPr>
        <w:t xml:space="preserve">Ky dokument </w:t>
      </w:r>
      <w:r w:rsidR="004E5A3D" w:rsidRPr="006942DE">
        <w:rPr>
          <w:rFonts w:ascii="Times New Roman" w:hAnsi="Times New Roman"/>
          <w:sz w:val="24"/>
          <w:szCs w:val="24"/>
          <w:lang w:val="it-IT"/>
        </w:rPr>
        <w:t>siguron një artikulim të veprimeve të planifikuara përgjatë prioriteteve tematike brenda secilës prej pesë dritareve tematike.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E5A3D" w:rsidRPr="006942DE">
        <w:rPr>
          <w:rFonts w:ascii="Times New Roman" w:hAnsi="Times New Roman"/>
          <w:sz w:val="24"/>
          <w:szCs w:val="24"/>
          <w:lang w:val="it-IT"/>
        </w:rPr>
        <w:t>rgjigja Strategjike ndahet n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E5A3D" w:rsidRPr="006942DE">
        <w:rPr>
          <w:rFonts w:ascii="Times New Roman" w:hAnsi="Times New Roman"/>
          <w:sz w:val="24"/>
          <w:szCs w:val="24"/>
          <w:lang w:val="it-IT"/>
        </w:rPr>
        <w:t xml:space="preserve"> 5 seksione.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E5A3D" w:rsidRPr="006942DE">
        <w:rPr>
          <w:rFonts w:ascii="Times New Roman" w:hAnsi="Times New Roman"/>
          <w:sz w:val="24"/>
          <w:szCs w:val="24"/>
          <w:lang w:val="it-IT"/>
        </w:rPr>
        <w:t>r secilin nga 4 dritaret e para, 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4E5A3D" w:rsidRPr="006942DE">
        <w:rPr>
          <w:rFonts w:ascii="Times New Roman" w:hAnsi="Times New Roman"/>
          <w:sz w:val="24"/>
          <w:szCs w:val="24"/>
          <w:lang w:val="it-IT"/>
        </w:rPr>
        <w:t xml:space="preserve"> identifikuara nga Komisioni Evropian, </w:t>
      </w:r>
      <w:r w:rsidR="006942DE" w:rsidRPr="006942DE">
        <w:rPr>
          <w:rFonts w:ascii="Times New Roman" w:hAnsi="Times New Roman"/>
          <w:sz w:val="24"/>
          <w:szCs w:val="24"/>
          <w:lang w:val="it-IT"/>
        </w:rPr>
        <w:t>secila prej tyre ndahet n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6942DE" w:rsidRPr="006942DE">
        <w:rPr>
          <w:rFonts w:ascii="Times New Roman" w:hAnsi="Times New Roman"/>
          <w:sz w:val="24"/>
          <w:szCs w:val="24"/>
          <w:lang w:val="it-IT"/>
        </w:rPr>
        <w:t xml:space="preserve"> 2 pjes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6942DE" w:rsidRPr="006942DE">
        <w:rPr>
          <w:rFonts w:ascii="Times New Roman" w:hAnsi="Times New Roman"/>
          <w:sz w:val="24"/>
          <w:szCs w:val="24"/>
          <w:lang w:val="it-IT"/>
        </w:rPr>
        <w:t>, siaps modelit standard 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6942DE" w:rsidRPr="006942DE">
        <w:rPr>
          <w:rFonts w:ascii="Times New Roman" w:hAnsi="Times New Roman"/>
          <w:sz w:val="24"/>
          <w:szCs w:val="24"/>
          <w:lang w:val="it-IT"/>
        </w:rPr>
        <w:t xml:space="preserve">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6942DE" w:rsidRPr="006942DE">
        <w:rPr>
          <w:rFonts w:ascii="Times New Roman" w:hAnsi="Times New Roman"/>
          <w:sz w:val="24"/>
          <w:szCs w:val="24"/>
          <w:lang w:val="it-IT"/>
        </w:rPr>
        <w:t>rcaktuar nga Komisioni Evropian,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6942DE" w:rsidRPr="006942DE">
        <w:rPr>
          <w:rFonts w:ascii="Times New Roman" w:hAnsi="Times New Roman"/>
          <w:sz w:val="24"/>
          <w:szCs w:val="24"/>
          <w:lang w:val="it-IT"/>
        </w:rPr>
        <w:t>r t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6942DE" w:rsidRPr="006942DE">
        <w:rPr>
          <w:rFonts w:ascii="Times New Roman" w:hAnsi="Times New Roman"/>
          <w:sz w:val="24"/>
          <w:szCs w:val="24"/>
          <w:lang w:val="it-IT"/>
        </w:rPr>
        <w:t xml:space="preserve"> gjitha vendet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6942DE" w:rsidRPr="006942DE">
        <w:rPr>
          <w:rFonts w:ascii="Times New Roman" w:hAnsi="Times New Roman"/>
          <w:sz w:val="24"/>
          <w:szCs w:val="24"/>
          <w:lang w:val="it-IT"/>
        </w:rPr>
        <w:t>rfituese, me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6942DE" w:rsidRPr="006942DE">
        <w:rPr>
          <w:rFonts w:ascii="Times New Roman" w:hAnsi="Times New Roman"/>
          <w:sz w:val="24"/>
          <w:szCs w:val="24"/>
          <w:lang w:val="it-IT"/>
        </w:rPr>
        <w:t>rmbajtjen e m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6942DE" w:rsidRPr="006942DE">
        <w:rPr>
          <w:rFonts w:ascii="Times New Roman" w:hAnsi="Times New Roman"/>
          <w:sz w:val="24"/>
          <w:szCs w:val="24"/>
          <w:lang w:val="it-IT"/>
        </w:rPr>
        <w:t>poshtme:</w:t>
      </w:r>
    </w:p>
    <w:p w14:paraId="0C2829BD" w14:textId="77777777" w:rsidR="006942DE" w:rsidRPr="006942DE" w:rsidRDefault="006942DE" w:rsidP="004E5A3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BD5FE9D" w14:textId="77777777" w:rsidR="006942DE" w:rsidRPr="006E2C24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E2C24">
        <w:rPr>
          <w:rFonts w:ascii="Times New Roman" w:hAnsi="Times New Roman"/>
          <w:b/>
          <w:bCs/>
          <w:sz w:val="24"/>
          <w:szCs w:val="24"/>
          <w:lang w:val="it-IT"/>
        </w:rPr>
        <w:t>Hyrja</w:t>
      </w:r>
    </w:p>
    <w:p w14:paraId="5B95CDC3" w14:textId="77777777" w:rsidR="006942DE" w:rsidRPr="00003D6C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03D6C">
        <w:rPr>
          <w:rFonts w:ascii="Times New Roman" w:hAnsi="Times New Roman"/>
          <w:b/>
          <w:bCs/>
          <w:sz w:val="24"/>
          <w:szCs w:val="24"/>
          <w:lang w:val="it-IT"/>
        </w:rPr>
        <w:t>Seksionet 1, 2, 3, 4 (korresponduese me dritaret 1, 2, 3, 4 t</w:t>
      </w:r>
      <w:r w:rsidR="00003D6C" w:rsidRPr="00003D6C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003D6C">
        <w:rPr>
          <w:rFonts w:ascii="Times New Roman" w:hAnsi="Times New Roman"/>
          <w:b/>
          <w:bCs/>
          <w:sz w:val="24"/>
          <w:szCs w:val="24"/>
          <w:lang w:val="it-IT"/>
        </w:rPr>
        <w:t xml:space="preserve"> IPA III)</w:t>
      </w:r>
    </w:p>
    <w:p w14:paraId="1D038E14" w14:textId="77777777" w:rsidR="006942DE" w:rsidRPr="006942DE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b/>
          <w:bCs/>
          <w:sz w:val="24"/>
          <w:szCs w:val="24"/>
          <w:lang w:val="it-IT"/>
        </w:rPr>
        <w:t>Pjesa e par</w:t>
      </w:r>
      <w:r w:rsidR="00003D6C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Pr="006942DE">
        <w:rPr>
          <w:rFonts w:ascii="Times New Roman" w:hAnsi="Times New Roman"/>
          <w:sz w:val="24"/>
          <w:szCs w:val="24"/>
          <w:lang w:val="it-IT"/>
        </w:rPr>
        <w:t>- Konteksti sectorial dhe relevanca me politikat e zgjerimit</w:t>
      </w:r>
    </w:p>
    <w:p w14:paraId="2C6E5FBF" w14:textId="77777777" w:rsidR="006942DE" w:rsidRPr="006E2C24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t>1 - Procesi i konsultimit.</w:t>
      </w:r>
    </w:p>
    <w:p w14:paraId="215BEAFF" w14:textId="77777777" w:rsidR="006942DE" w:rsidRPr="006E2C24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t>2 - Linjëzimi i kuadrit strategjik të përfituesve me kuadrin programues të IPA III.</w:t>
      </w:r>
    </w:p>
    <w:p w14:paraId="5E52EC7C" w14:textId="77777777" w:rsidR="006942DE" w:rsidRPr="006E2C24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t>3 - Koherenca e kuadrit strategjik të përfituesve me Strategjinë e Zgjerimit të BE-së.</w:t>
      </w:r>
    </w:p>
    <w:p w14:paraId="2E474590" w14:textId="77777777" w:rsidR="006942DE" w:rsidRPr="006E2C24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t>4 - Analiza sektoriale.</w:t>
      </w:r>
    </w:p>
    <w:p w14:paraId="7F446A18" w14:textId="77777777" w:rsidR="006942DE" w:rsidRPr="006E2C24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t>5 - Koherenca e strategjive sektoriale me strategjitë rajonale dhe ato globale</w:t>
      </w:r>
    </w:p>
    <w:p w14:paraId="7EA7112D" w14:textId="77777777" w:rsidR="006942DE" w:rsidRPr="006942DE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b/>
          <w:sz w:val="24"/>
          <w:szCs w:val="24"/>
          <w:lang w:val="it-IT"/>
        </w:rPr>
        <w:t>Pjesa e dytë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- Prioritetet, politikat dhe veprimet nën asistencën financiare të IPA</w:t>
      </w:r>
    </w:p>
    <w:p w14:paraId="6A4AF24B" w14:textId="77777777" w:rsidR="006942DE" w:rsidRPr="006942DE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sz w:val="24"/>
          <w:szCs w:val="24"/>
          <w:lang w:val="it-IT"/>
        </w:rPr>
        <w:t>1 - Procesi i konsultimit.</w:t>
      </w:r>
    </w:p>
    <w:p w14:paraId="583E0654" w14:textId="77777777" w:rsidR="006942DE" w:rsidRPr="006942DE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sz w:val="24"/>
          <w:szCs w:val="24"/>
          <w:lang w:val="it-IT"/>
        </w:rPr>
        <w:t xml:space="preserve">2 - Prioritetet kyçe tematike </w:t>
      </w:r>
    </w:p>
    <w:p w14:paraId="5E85B19C" w14:textId="77777777" w:rsidR="006942DE" w:rsidRPr="006942DE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sz w:val="24"/>
          <w:szCs w:val="24"/>
          <w:lang w:val="it-IT"/>
        </w:rPr>
        <w:t>3 - Lista e veprimeve për mbështeje nga IPA 2021 – 2024.</w:t>
      </w:r>
    </w:p>
    <w:p w14:paraId="49FB997E" w14:textId="77777777" w:rsidR="006942DE" w:rsidRPr="006942DE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sz w:val="24"/>
          <w:szCs w:val="24"/>
          <w:lang w:val="it-IT"/>
        </w:rPr>
        <w:t>4 - Buxheti indikativ dhe plani i zbatimit për veprimet e IPA 2021 – 2024.</w:t>
      </w:r>
    </w:p>
    <w:p w14:paraId="543C5F39" w14:textId="77777777" w:rsidR="006942DE" w:rsidRPr="006942DE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B1DEF7D" w14:textId="77777777" w:rsidR="006942DE" w:rsidRPr="006942DE" w:rsidRDefault="006942DE" w:rsidP="00694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b/>
          <w:bCs/>
          <w:sz w:val="24"/>
          <w:szCs w:val="24"/>
          <w:lang w:val="it-IT"/>
        </w:rPr>
        <w:t>Seksioni 5 –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Bashk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punimi territorial dhe nd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Pr="006942DE">
        <w:rPr>
          <w:rFonts w:ascii="Times New Roman" w:hAnsi="Times New Roman"/>
          <w:sz w:val="24"/>
          <w:szCs w:val="24"/>
          <w:lang w:val="it-IT"/>
        </w:rPr>
        <w:t>r-kufitar.</w:t>
      </w:r>
    </w:p>
    <w:p w14:paraId="367969D3" w14:textId="77777777" w:rsidR="000769D1" w:rsidRDefault="000769D1" w:rsidP="000769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ADD8E34" w14:textId="77777777" w:rsidR="00E95D72" w:rsidRPr="006942DE" w:rsidRDefault="00E95D72" w:rsidP="000769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0A556D4" w14:textId="77777777" w:rsidR="003161DE" w:rsidRPr="006E2C24" w:rsidRDefault="000769D1" w:rsidP="000769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942DE">
        <w:rPr>
          <w:rFonts w:ascii="Times New Roman" w:hAnsi="Times New Roman"/>
          <w:sz w:val="24"/>
          <w:szCs w:val="24"/>
          <w:lang w:val="it-IT"/>
        </w:rPr>
        <w:t>Pjesa</w:t>
      </w:r>
      <w:r w:rsidR="00E602AA">
        <w:rPr>
          <w:rFonts w:ascii="Times New Roman" w:hAnsi="Times New Roman"/>
          <w:sz w:val="24"/>
          <w:szCs w:val="24"/>
          <w:lang w:val="it-IT"/>
        </w:rPr>
        <w:t xml:space="preserve"> e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1 ofron</w:t>
      </w:r>
      <w:r w:rsidR="006942DE" w:rsidRPr="006942DE">
        <w:rPr>
          <w:rFonts w:ascii="Times New Roman" w:hAnsi="Times New Roman"/>
          <w:sz w:val="24"/>
          <w:szCs w:val="24"/>
          <w:lang w:val="it-IT"/>
        </w:rPr>
        <w:t xml:space="preserve"> p</w:t>
      </w:r>
      <w:r w:rsidR="00003D6C">
        <w:rPr>
          <w:rFonts w:ascii="Times New Roman" w:hAnsi="Times New Roman"/>
          <w:sz w:val="24"/>
          <w:szCs w:val="24"/>
          <w:lang w:val="it-IT"/>
        </w:rPr>
        <w:t>ë</w:t>
      </w:r>
      <w:r w:rsidR="006942DE" w:rsidRPr="006942DE">
        <w:rPr>
          <w:rFonts w:ascii="Times New Roman" w:hAnsi="Times New Roman"/>
          <w:sz w:val="24"/>
          <w:szCs w:val="24"/>
          <w:lang w:val="it-IT"/>
        </w:rPr>
        <w:t xml:space="preserve">r çdo dritare nga 1-4, </w:t>
      </w:r>
      <w:r w:rsidRPr="006942DE">
        <w:rPr>
          <w:rFonts w:ascii="Times New Roman" w:hAnsi="Times New Roman"/>
          <w:sz w:val="24"/>
          <w:szCs w:val="24"/>
          <w:lang w:val="it-IT"/>
        </w:rPr>
        <w:t>një analizë të kontekstit duke përshkruar në çfarë mase përparësitë e politikave dhe korniza strategjike e Shqipërisë janë në përputhje me orientimet strategjike të Kornizës së Programimit IPA III dhe janë koherente me politikën e zgjerimit, me qasjen sektori</w:t>
      </w:r>
      <w:r w:rsidR="003161DE" w:rsidRPr="006942DE">
        <w:rPr>
          <w:rFonts w:ascii="Times New Roman" w:hAnsi="Times New Roman"/>
          <w:sz w:val="24"/>
          <w:szCs w:val="24"/>
          <w:lang w:val="it-IT"/>
        </w:rPr>
        <w:t>ale</w:t>
      </w:r>
      <w:r w:rsidRPr="006942DE">
        <w:rPr>
          <w:rFonts w:ascii="Times New Roman" w:hAnsi="Times New Roman"/>
          <w:sz w:val="24"/>
          <w:szCs w:val="24"/>
          <w:lang w:val="it-IT"/>
        </w:rPr>
        <w:t xml:space="preserve"> dhe me strategji të tjera rajonale dhe ndërkombëtare. 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Vëmendje e veçantë i është kushtuar fushave kryesore të kritereve të pranimit politik, duke përfshirë funksionimin e gjyqësorit, luftën kundër korrupsionit, luftën kundër krimit të organizuar, lirinë e shprehjes dhe reformën e administratës publike, si dhe qeverisjen ekonomike. Për më tepër, vëmendje specifike në Përgjigjen Strategjike i është kushtuar përparimit të axhendës së gjelbër, kontributit në qëllimet e përcaktuara në Strategjinë e Bashkimit Evropian për Rajonin Adriatiko-Jon dhe kontributit në Agjendën 2030 për Zhvillim të Qëndrueshëm. </w:t>
      </w:r>
    </w:p>
    <w:p w14:paraId="7200D941" w14:textId="77777777" w:rsidR="003161DE" w:rsidRPr="006E2C24" w:rsidRDefault="003161DE" w:rsidP="000769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59B9571" w14:textId="77777777" w:rsidR="00E602AA" w:rsidRPr="006E2C24" w:rsidRDefault="00E602AA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t>Pjesa</w:t>
      </w:r>
      <w:r w:rsidR="006942DE" w:rsidRPr="006E2C2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e </w:t>
      </w:r>
      <w:r w:rsidR="006942DE" w:rsidRPr="006E2C24">
        <w:rPr>
          <w:rFonts w:ascii="Times New Roman" w:hAnsi="Times New Roman"/>
          <w:sz w:val="24"/>
          <w:szCs w:val="24"/>
          <w:lang w:val="it-IT"/>
        </w:rPr>
        <w:t xml:space="preserve">2 </w:t>
      </w:r>
      <w:r w:rsidRPr="006E2C24">
        <w:rPr>
          <w:rFonts w:ascii="Times New Roman" w:hAnsi="Times New Roman"/>
          <w:sz w:val="24"/>
          <w:szCs w:val="24"/>
          <w:lang w:val="it-IT"/>
        </w:rPr>
        <w:t>jep nj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informacion p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r reformat par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sore q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jan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identifikuar si ato m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t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r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nd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sishmet q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adresojn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objektivat kryesore p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r nj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zhvillim dhe integrim t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qendruesh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m t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Shqip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ris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me Bashkimin Evropian, mbi bazat e dokumentave tre vjeçare m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t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r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nd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sishme komb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tare si Plani Komb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tar p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r Integrimin Evropain dhe Programi p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r Reform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n Ekonomike. Strategjia e re Komb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tare p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r Zhvillim dhe Integrim aktualisht 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sht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duke u hartuar dhe ky dokument do t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jet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dokumenti i politikave q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do t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mbuloj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periudh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n 2021-2030. </w:t>
      </w:r>
    </w:p>
    <w:p w14:paraId="5CC0C938" w14:textId="77777777" w:rsidR="00E602AA" w:rsidRPr="006E2C24" w:rsidRDefault="00E602AA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AF459E2" w14:textId="77777777" w:rsidR="00E602AA" w:rsidRPr="006E2C24" w:rsidRDefault="00E602AA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lastRenderedPageBreak/>
        <w:t>Pjesa e dyt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prezanton gjithashtu list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n e veprimeve p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r mb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shtetje nga IPA III p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r vitet programuese 2021 dhe 2022, sikurse jan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prioritizuar nga Komisioni Evropian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 xml:space="preserve">. Mbi bazën e paketës së propozimeve të përcjella </w:t>
      </w:r>
      <w:r w:rsidRPr="006E2C24">
        <w:rPr>
          <w:rFonts w:ascii="Times New Roman" w:hAnsi="Times New Roman"/>
          <w:sz w:val="24"/>
          <w:szCs w:val="24"/>
          <w:lang w:val="it-IT"/>
        </w:rPr>
        <w:t>nga Qeveria Shqiptare p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rmes Koordinatorit Komb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>tar t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>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IPA-s</w:t>
      </w:r>
      <w:r w:rsidR="00003D6C" w:rsidRPr="006E2C24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3B292C90" w14:textId="77777777" w:rsidR="006942DE" w:rsidRPr="006E2C24" w:rsidRDefault="006942DE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59F54B9" w14:textId="77777777" w:rsidR="00003D6C" w:rsidRPr="006E2C24" w:rsidRDefault="00003D6C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t xml:space="preserve">Seksioni 5 përshkruan shkurtimisht shtatë programet e Bashkëpunimit Territorial ku Shqipëria merr pjesë për periudhën 2021- 2027. Sidoqoftë, planifikimi i këtyre programeve do të kryhet përmes një procesi të veçantë që nuk mbulohet nga Përgjigja Strategjike Kombëtare. </w:t>
      </w:r>
    </w:p>
    <w:p w14:paraId="3C8210D4" w14:textId="77777777" w:rsidR="00003D6C" w:rsidRPr="006E2C24" w:rsidRDefault="00003D6C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4CC63C3" w14:textId="408D3687" w:rsidR="006942DE" w:rsidRPr="006E2C24" w:rsidRDefault="00003D6C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6E2C24">
        <w:rPr>
          <w:rFonts w:ascii="Times New Roman" w:hAnsi="Times New Roman"/>
          <w:sz w:val="24"/>
          <w:szCs w:val="24"/>
          <w:lang w:val="it-IT"/>
        </w:rPr>
        <w:t xml:space="preserve">Komisioni Evropian ka rekomanduar që Përgjigja Strategjike Kombëtare të konsultohet me gruper relevante të interesit, në përputhje me Kodin Evropian të Sjelljes në Partneritet – Rregullore e Deleguar nga Komisioni me Nr. 240/2014 të 7 janarit 2014. Si rrejdhojë, dokumenti i Përgjigjës Strategjike Kombëtare i është komunikuar një numri të gjerë institucionësh, organizatash ose grupesh që mund të </w:t>
      </w:r>
      <w:r w:rsidR="00393F05">
        <w:rPr>
          <w:rFonts w:ascii="Times New Roman" w:hAnsi="Times New Roman"/>
          <w:sz w:val="24"/>
          <w:szCs w:val="24"/>
          <w:lang w:val="it-IT"/>
        </w:rPr>
        <w:t>përfitojnë</w:t>
      </w:r>
      <w:r w:rsidRPr="006E2C24">
        <w:rPr>
          <w:rFonts w:ascii="Times New Roman" w:hAnsi="Times New Roman"/>
          <w:sz w:val="24"/>
          <w:szCs w:val="24"/>
          <w:lang w:val="it-IT"/>
        </w:rPr>
        <w:t xml:space="preserve"> nga zbatimi i fondeve të IPA III në Shqipëri, duke përfshirë këtu edhe përfaqësuesit e grupeve të konsideruara si grupe të riskuara nga diskriminimi dhe përjashtimi social. </w:t>
      </w:r>
    </w:p>
    <w:p w14:paraId="101C2C60" w14:textId="77777777" w:rsidR="00003D6C" w:rsidRPr="006E2C24" w:rsidRDefault="00003D6C" w:rsidP="006E2C2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3DF0E02" w14:textId="77777777" w:rsidR="006942DE" w:rsidRPr="006942DE" w:rsidRDefault="006942DE" w:rsidP="000769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942DE" w:rsidRPr="006942DE" w:rsidSect="006E2C24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4740" w14:textId="77777777" w:rsidR="00555D21" w:rsidRDefault="00555D21" w:rsidP="002C33E9">
      <w:pPr>
        <w:spacing w:after="0" w:line="240" w:lineRule="auto"/>
      </w:pPr>
      <w:r>
        <w:separator/>
      </w:r>
    </w:p>
  </w:endnote>
  <w:endnote w:type="continuationSeparator" w:id="0">
    <w:p w14:paraId="1C81670D" w14:textId="77777777" w:rsidR="00555D21" w:rsidRDefault="00555D21" w:rsidP="002C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BB98" w14:textId="77777777" w:rsidR="00555D21" w:rsidRDefault="00555D21" w:rsidP="002C33E9">
      <w:pPr>
        <w:spacing w:after="0" w:line="240" w:lineRule="auto"/>
      </w:pPr>
      <w:r>
        <w:separator/>
      </w:r>
    </w:p>
  </w:footnote>
  <w:footnote w:type="continuationSeparator" w:id="0">
    <w:p w14:paraId="505AE1C0" w14:textId="77777777" w:rsidR="00555D21" w:rsidRDefault="00555D21" w:rsidP="002C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C693A"/>
    <w:multiLevelType w:val="hybridMultilevel"/>
    <w:tmpl w:val="CE1A3536"/>
    <w:lvl w:ilvl="0" w:tplc="F430744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B72"/>
    <w:rsid w:val="00003D6C"/>
    <w:rsid w:val="000769D1"/>
    <w:rsid w:val="001160ED"/>
    <w:rsid w:val="001520AC"/>
    <w:rsid w:val="0021431D"/>
    <w:rsid w:val="002917AF"/>
    <w:rsid w:val="002A1FDD"/>
    <w:rsid w:val="002C33E9"/>
    <w:rsid w:val="003161DE"/>
    <w:rsid w:val="00385A45"/>
    <w:rsid w:val="00393F05"/>
    <w:rsid w:val="004A398B"/>
    <w:rsid w:val="004E5A3D"/>
    <w:rsid w:val="0050749B"/>
    <w:rsid w:val="00555D21"/>
    <w:rsid w:val="00610CD9"/>
    <w:rsid w:val="00614B8D"/>
    <w:rsid w:val="006822B5"/>
    <w:rsid w:val="006942DE"/>
    <w:rsid w:val="006E2C24"/>
    <w:rsid w:val="00877C21"/>
    <w:rsid w:val="0088657A"/>
    <w:rsid w:val="008B0EC5"/>
    <w:rsid w:val="009849FC"/>
    <w:rsid w:val="00A16B44"/>
    <w:rsid w:val="00B84B72"/>
    <w:rsid w:val="00C64888"/>
    <w:rsid w:val="00D24984"/>
    <w:rsid w:val="00E16D09"/>
    <w:rsid w:val="00E602AA"/>
    <w:rsid w:val="00E95D72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F4F4"/>
  <w15:docId w15:val="{C210AD2A-E92E-4102-B72D-4B92553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E9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3E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3E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styleId="FootnoteReference">
    <w:name w:val="footnote reference"/>
    <w:aliases w:val="BVI fnr,ftref, BVI fnr,Error-Fußnotenzeichen5,Error-Fußnotenzeichen6,Error-Fußnotenzeichen3,Footnote Reference1,Error-Fu?notenzeichen5,Error-Fu?notenzeichen6,Error-Fu?notenzeichen3,referencia nota al pie,Ref,de nota al pie,16 Point,R"/>
    <w:link w:val="BVIfnrChar1CharCharChar"/>
    <w:uiPriority w:val="99"/>
    <w:qFormat/>
    <w:rsid w:val="002C33E9"/>
    <w:rPr>
      <w:vertAlign w:val="superscript"/>
    </w:rPr>
  </w:style>
  <w:style w:type="paragraph" w:customStyle="1" w:styleId="BVIfnrChar1CharCharChar">
    <w:name w:val="BVI fnr Char1 Char Char Char"/>
    <w:aliases w:val="BVI fnr Car Car Char1 Char Char Char,BVI fnr Car Char1 Char Char Char,BVI fnr Car Car Car Car Char Char1 Char Char"/>
    <w:basedOn w:val="Normal"/>
    <w:link w:val="FootnoteReference"/>
    <w:uiPriority w:val="99"/>
    <w:rsid w:val="002C33E9"/>
    <w:pPr>
      <w:spacing w:before="120" w:after="160" w:line="240" w:lineRule="exact"/>
      <w:jc w:val="both"/>
    </w:pPr>
    <w:rPr>
      <w:rFonts w:asciiTheme="minorHAnsi" w:eastAsiaTheme="minorHAnsi" w:hAnsiTheme="minorHAnsi" w:cstheme="minorBidi"/>
      <w:vertAlign w:val="superscript"/>
      <w:lang w:eastAsia="en-US"/>
    </w:rPr>
  </w:style>
  <w:style w:type="paragraph" w:styleId="FootnoteText">
    <w:name w:val="footnote text"/>
    <w:aliases w:val="Footnote Text Char Char Char,Footnote Text Char Char,Fußnote,Footnote,Footnote Text Char1 Char,Footnote Text Char1 Char Char Char,Footnote Text Char Char Char Char Char,Footnote Text Char1 Char1 Char,Fußnotentextf, Char"/>
    <w:basedOn w:val="Normal"/>
    <w:link w:val="FootnoteTextChar1"/>
    <w:uiPriority w:val="99"/>
    <w:qFormat/>
    <w:rsid w:val="002C33E9"/>
    <w:pPr>
      <w:spacing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2C33E9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1">
    <w:name w:val="Footnote Text Char1"/>
    <w:aliases w:val="Footnote Text Char Char Char Char,Footnote Text Char Char Char1,Fußnote Char,Footnote Char,Footnote Text Char1 Char Char,Footnote Text Char1 Char Char Char Char,Footnote Text Char Char Char Char Char Char,Fußnotentextf Char"/>
    <w:link w:val="FootnoteText"/>
    <w:uiPriority w:val="99"/>
    <w:qFormat/>
    <w:rsid w:val="002C33E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aliases w:val="Bullet point,Table of contents numbered,Colorful List - Accent 11,List Paragraph2,Light Grid - Accent 31,Akapit z listą BS,Bullet1,List Paragraph in table,PROVERE 1,Table/Figure Heading,Dot pt,F5 List Paragraph,List Paragraph1,No Spacing1"/>
    <w:basedOn w:val="Normal"/>
    <w:link w:val="ListParagraphChar"/>
    <w:uiPriority w:val="34"/>
    <w:qFormat/>
    <w:rsid w:val="00610CD9"/>
    <w:pPr>
      <w:ind w:left="720"/>
      <w:contextualSpacing/>
    </w:pPr>
  </w:style>
  <w:style w:type="character" w:customStyle="1" w:styleId="ListParagraphChar">
    <w:name w:val="List Paragraph Char"/>
    <w:aliases w:val="Bullet point Char,Table of contents numbered Char,Colorful List - Accent 11 Char,List Paragraph2 Char,Light Grid - Accent 31 Char,Akapit z listą BS Char,Bullet1 Char,List Paragraph in table Char,PROVERE 1 Char,Dot pt Char"/>
    <w:link w:val="ListParagraph"/>
    <w:uiPriority w:val="34"/>
    <w:qFormat/>
    <w:locked/>
    <w:rsid w:val="00610CD9"/>
    <w:rPr>
      <w:rFonts w:ascii="Calibri" w:eastAsia="Times New Roman" w:hAnsi="Calibri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10C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4A398B"/>
    <w:pPr>
      <w:tabs>
        <w:tab w:val="left" w:pos="567"/>
      </w:tabs>
      <w:spacing w:after="120" w:line="240" w:lineRule="auto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A398B"/>
    <w:rPr>
      <w:rFonts w:ascii="Calibri" w:eastAsia="Times New Roman" w:hAnsi="Calibri" w:cs="Times New Roman"/>
      <w:szCs w:val="20"/>
    </w:rPr>
  </w:style>
  <w:style w:type="paragraph" w:customStyle="1" w:styleId="CM1">
    <w:name w:val="CM1"/>
    <w:basedOn w:val="Normal"/>
    <w:next w:val="Normal"/>
    <w:uiPriority w:val="99"/>
    <w:rsid w:val="006942DE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5</cp:revision>
  <dcterms:created xsi:type="dcterms:W3CDTF">2021-05-09T20:29:00Z</dcterms:created>
  <dcterms:modified xsi:type="dcterms:W3CDTF">2021-05-11T12:55:00Z</dcterms:modified>
</cp:coreProperties>
</file>